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2C" w:rsidRPr="000D6CDE" w:rsidRDefault="00E46A2C" w:rsidP="000D6CDE">
      <w:pPr>
        <w:pStyle w:val="promulgatetitle"/>
        <w:jc w:val="center"/>
        <w:rPr>
          <w:rFonts w:ascii="仿宋" w:eastAsia="仿宋" w:hAnsi="仿宋" w:cs="Arial"/>
          <w:b/>
          <w:color w:val="333333"/>
          <w:sz w:val="32"/>
          <w:szCs w:val="32"/>
          <w:lang w:val="en"/>
        </w:rPr>
      </w:pPr>
      <w:r w:rsidRPr="000D6CDE">
        <w:rPr>
          <w:rFonts w:ascii="仿宋" w:eastAsia="仿宋" w:hAnsi="仿宋" w:cs="Arial"/>
          <w:b/>
          <w:color w:val="333333"/>
          <w:sz w:val="32"/>
          <w:szCs w:val="32"/>
          <w:lang w:val="en"/>
        </w:rPr>
        <w:t>财政部、国家税务总局关于个人所得</w:t>
      </w:r>
      <w:proofErr w:type="gramStart"/>
      <w:r w:rsidRPr="000D6CDE">
        <w:rPr>
          <w:rFonts w:ascii="仿宋" w:eastAsia="仿宋" w:hAnsi="仿宋" w:cs="Arial"/>
          <w:b/>
          <w:color w:val="333333"/>
          <w:sz w:val="32"/>
          <w:szCs w:val="32"/>
          <w:lang w:val="en"/>
        </w:rPr>
        <w:t>税综合</w:t>
      </w:r>
      <w:proofErr w:type="gramEnd"/>
      <w:r w:rsidRPr="000D6CDE">
        <w:rPr>
          <w:rFonts w:ascii="仿宋" w:eastAsia="仿宋" w:hAnsi="仿宋" w:cs="Arial"/>
          <w:b/>
          <w:color w:val="333333"/>
          <w:sz w:val="32"/>
          <w:szCs w:val="32"/>
          <w:lang w:val="en"/>
        </w:rPr>
        <w:t>所得汇算清缴涉及有关政策问题的公告</w:t>
      </w:r>
    </w:p>
    <w:p w:rsidR="00E46A2C" w:rsidRPr="000D6CDE" w:rsidRDefault="00E46A2C" w:rsidP="000D6CDE">
      <w:pPr>
        <w:pStyle w:val="promulgatesubtitle"/>
        <w:jc w:val="center"/>
        <w:rPr>
          <w:rFonts w:ascii="仿宋" w:eastAsia="仿宋" w:hAnsi="仿宋" w:cs="Arial"/>
          <w:color w:val="333333"/>
          <w:sz w:val="28"/>
          <w:szCs w:val="28"/>
          <w:lang w:val="en"/>
        </w:rPr>
      </w:pPr>
      <w:r w:rsidRPr="000D6CDE">
        <w:rPr>
          <w:rFonts w:ascii="仿宋" w:eastAsia="仿宋" w:hAnsi="仿宋" w:cs="Arial"/>
          <w:color w:val="333333"/>
          <w:sz w:val="28"/>
          <w:szCs w:val="28"/>
          <w:lang w:val="en"/>
        </w:rPr>
        <w:t>财政部、税务总局公告2019年第94号</w:t>
      </w:r>
    </w:p>
    <w:p w:rsidR="00E46A2C" w:rsidRPr="000D6CDE" w:rsidRDefault="00E46A2C" w:rsidP="000D6CDE">
      <w:pPr>
        <w:pStyle w:val="doc-a"/>
        <w:ind w:firstLineChars="200" w:firstLine="560"/>
        <w:rPr>
          <w:rFonts w:ascii="仿宋" w:eastAsia="仿宋" w:hAnsi="仿宋" w:cs="Arial"/>
          <w:color w:val="333333"/>
          <w:sz w:val="28"/>
          <w:szCs w:val="28"/>
          <w:lang w:val="en"/>
        </w:rPr>
      </w:pPr>
      <w:r w:rsidRPr="000D6CDE">
        <w:rPr>
          <w:rFonts w:ascii="仿宋" w:eastAsia="仿宋" w:hAnsi="仿宋" w:cs="Arial"/>
          <w:color w:val="333333"/>
          <w:sz w:val="28"/>
          <w:szCs w:val="28"/>
          <w:lang w:val="en"/>
        </w:rPr>
        <w:t>为贯彻落实修改后的《</w:t>
      </w:r>
      <w:hyperlink r:id="rId7" w:tgtFrame="_blank" w:history="1">
        <w:r w:rsidRPr="000D6CDE">
          <w:rPr>
            <w:rStyle w:val="a5"/>
            <w:rFonts w:ascii="仿宋" w:eastAsia="仿宋" w:hAnsi="仿宋" w:cs="Arial"/>
            <w:sz w:val="28"/>
            <w:szCs w:val="28"/>
            <w:lang w:val="en"/>
          </w:rPr>
          <w:t>中华人民共和国个人所得税法</w:t>
        </w:r>
      </w:hyperlink>
      <w:r w:rsidRPr="000D6CDE">
        <w:rPr>
          <w:rFonts w:ascii="仿宋" w:eastAsia="仿宋" w:hAnsi="仿宋" w:cs="Arial"/>
          <w:color w:val="333333"/>
          <w:sz w:val="28"/>
          <w:szCs w:val="28"/>
          <w:lang w:val="en"/>
        </w:rPr>
        <w:t>》，进一步减轻纳税人的税收负担，现就个人所得</w:t>
      </w:r>
      <w:proofErr w:type="gramStart"/>
      <w:r w:rsidRPr="000D6CDE">
        <w:rPr>
          <w:rFonts w:ascii="仿宋" w:eastAsia="仿宋" w:hAnsi="仿宋" w:cs="Arial"/>
          <w:color w:val="333333"/>
          <w:sz w:val="28"/>
          <w:szCs w:val="28"/>
          <w:lang w:val="en"/>
        </w:rPr>
        <w:t>税综合</w:t>
      </w:r>
      <w:proofErr w:type="gramEnd"/>
      <w:r w:rsidRPr="000D6CDE">
        <w:rPr>
          <w:rFonts w:ascii="仿宋" w:eastAsia="仿宋" w:hAnsi="仿宋" w:cs="Arial"/>
          <w:color w:val="333333"/>
          <w:sz w:val="28"/>
          <w:szCs w:val="28"/>
          <w:lang w:val="en"/>
        </w:rPr>
        <w:t>所得汇算清缴涉及有关政策问题公告如下：</w:t>
      </w:r>
    </w:p>
    <w:p w:rsidR="00E46A2C" w:rsidRPr="000D6CDE" w:rsidRDefault="00E46A2C" w:rsidP="000D6CDE">
      <w:pPr>
        <w:pStyle w:val="doc-a"/>
        <w:ind w:firstLineChars="200" w:firstLine="560"/>
        <w:rPr>
          <w:rFonts w:ascii="仿宋" w:eastAsia="仿宋" w:hAnsi="仿宋" w:cs="Arial"/>
          <w:color w:val="333333"/>
          <w:sz w:val="28"/>
          <w:szCs w:val="28"/>
          <w:lang w:val="en"/>
        </w:rPr>
      </w:pPr>
      <w:r w:rsidRPr="000D6CDE">
        <w:rPr>
          <w:rFonts w:ascii="仿宋" w:eastAsia="仿宋" w:hAnsi="仿宋" w:cs="Arial"/>
          <w:color w:val="333333"/>
          <w:sz w:val="28"/>
          <w:szCs w:val="28"/>
          <w:lang w:val="en"/>
        </w:rPr>
        <w:t>一、2019年1月1日至2020年12月</w:t>
      </w:r>
      <w:bookmarkStart w:id="0" w:name="_GoBack"/>
      <w:bookmarkEnd w:id="0"/>
      <w:r w:rsidRPr="000D6CDE">
        <w:rPr>
          <w:rFonts w:ascii="仿宋" w:eastAsia="仿宋" w:hAnsi="仿宋" w:cs="Arial"/>
          <w:color w:val="333333"/>
          <w:sz w:val="28"/>
          <w:szCs w:val="28"/>
          <w:lang w:val="en"/>
        </w:rPr>
        <w:t>31日居民个人取得的综合所得，年度综合所得收入不超过12万元且需要汇算清缴补税的，或者年度汇算清缴补税金额不超过400元的，居民个人可免于办理个人所得</w:t>
      </w:r>
      <w:proofErr w:type="gramStart"/>
      <w:r w:rsidRPr="000D6CDE">
        <w:rPr>
          <w:rFonts w:ascii="仿宋" w:eastAsia="仿宋" w:hAnsi="仿宋" w:cs="Arial"/>
          <w:color w:val="333333"/>
          <w:sz w:val="28"/>
          <w:szCs w:val="28"/>
          <w:lang w:val="en"/>
        </w:rPr>
        <w:t>税综合</w:t>
      </w:r>
      <w:proofErr w:type="gramEnd"/>
      <w:r w:rsidRPr="000D6CDE">
        <w:rPr>
          <w:rFonts w:ascii="仿宋" w:eastAsia="仿宋" w:hAnsi="仿宋" w:cs="Arial"/>
          <w:color w:val="333333"/>
          <w:sz w:val="28"/>
          <w:szCs w:val="28"/>
          <w:lang w:val="en"/>
        </w:rPr>
        <w:t>所得汇算清缴。居民个人取得综合所得时存在扣缴义务人未依法</w:t>
      </w:r>
      <w:proofErr w:type="gramStart"/>
      <w:r w:rsidRPr="000D6CDE">
        <w:rPr>
          <w:rFonts w:ascii="仿宋" w:eastAsia="仿宋" w:hAnsi="仿宋" w:cs="Arial"/>
          <w:color w:val="333333"/>
          <w:sz w:val="28"/>
          <w:szCs w:val="28"/>
          <w:lang w:val="en"/>
        </w:rPr>
        <w:t>预扣预缴税</w:t>
      </w:r>
      <w:proofErr w:type="gramEnd"/>
      <w:r w:rsidRPr="000D6CDE">
        <w:rPr>
          <w:rFonts w:ascii="仿宋" w:eastAsia="仿宋" w:hAnsi="仿宋" w:cs="Arial"/>
          <w:color w:val="333333"/>
          <w:sz w:val="28"/>
          <w:szCs w:val="28"/>
          <w:lang w:val="en"/>
        </w:rPr>
        <w:t>款的情形除外。</w:t>
      </w:r>
    </w:p>
    <w:p w:rsidR="00E46A2C" w:rsidRPr="000D6CDE" w:rsidRDefault="00E46A2C" w:rsidP="000D6CDE">
      <w:pPr>
        <w:pStyle w:val="doc-a"/>
        <w:ind w:firstLineChars="200" w:firstLine="560"/>
        <w:rPr>
          <w:rFonts w:ascii="仿宋" w:eastAsia="仿宋" w:hAnsi="仿宋" w:cs="Arial"/>
          <w:color w:val="333333"/>
          <w:sz w:val="28"/>
          <w:szCs w:val="28"/>
          <w:lang w:val="en"/>
        </w:rPr>
      </w:pPr>
      <w:r w:rsidRPr="000D6CDE">
        <w:rPr>
          <w:rFonts w:ascii="仿宋" w:eastAsia="仿宋" w:hAnsi="仿宋" w:cs="Arial"/>
          <w:color w:val="333333"/>
          <w:sz w:val="28"/>
          <w:szCs w:val="28"/>
          <w:lang w:val="en"/>
        </w:rPr>
        <w:t>二、残疾、孤老人员和烈属取得综合所得办理汇算清缴时，汇算清缴地与预扣预缴地规定不一致的，用预扣预缴地规定计算的减免税额与用汇算清缴地规定计算的减免税额相比较，按照</w:t>
      </w:r>
      <w:proofErr w:type="gramStart"/>
      <w:r w:rsidRPr="000D6CDE">
        <w:rPr>
          <w:rFonts w:ascii="仿宋" w:eastAsia="仿宋" w:hAnsi="仿宋" w:cs="Arial"/>
          <w:color w:val="333333"/>
          <w:sz w:val="28"/>
          <w:szCs w:val="28"/>
          <w:lang w:val="en"/>
        </w:rPr>
        <w:t>孰</w:t>
      </w:r>
      <w:proofErr w:type="gramEnd"/>
      <w:r w:rsidRPr="000D6CDE">
        <w:rPr>
          <w:rFonts w:ascii="仿宋" w:eastAsia="仿宋" w:hAnsi="仿宋" w:cs="Arial"/>
          <w:color w:val="333333"/>
          <w:sz w:val="28"/>
          <w:szCs w:val="28"/>
          <w:lang w:val="en"/>
        </w:rPr>
        <w:t>高值确定减免税额。</w:t>
      </w:r>
    </w:p>
    <w:p w:rsidR="00E46A2C" w:rsidRPr="000D6CDE" w:rsidRDefault="00E46A2C" w:rsidP="000D6CDE">
      <w:pPr>
        <w:pStyle w:val="doc-a"/>
        <w:ind w:firstLineChars="200" w:firstLine="560"/>
        <w:rPr>
          <w:rFonts w:ascii="仿宋" w:eastAsia="仿宋" w:hAnsi="仿宋" w:cs="Arial"/>
          <w:color w:val="333333"/>
          <w:sz w:val="28"/>
          <w:szCs w:val="28"/>
          <w:lang w:val="en"/>
        </w:rPr>
      </w:pPr>
      <w:r w:rsidRPr="000D6CDE">
        <w:rPr>
          <w:rFonts w:ascii="仿宋" w:eastAsia="仿宋" w:hAnsi="仿宋" w:cs="Arial"/>
          <w:color w:val="333333"/>
          <w:sz w:val="28"/>
          <w:szCs w:val="28"/>
          <w:lang w:val="en"/>
        </w:rPr>
        <w:t>三、居民个人填报专项附加扣除信息存在明显错误，经税务机关通知，居民个人拒不更正或者不说明情况的，税务机关可暂停纳税人享受专项附加扣除。居民个人按规定更正相关信息或者说明情况后，经税务机关确认，居民个人可继续享受专项附加扣除，以前月份未享受扣除的，可按规定追补扣除。</w:t>
      </w:r>
    </w:p>
    <w:p w:rsidR="00E46A2C" w:rsidRPr="000D6CDE" w:rsidRDefault="00E46A2C" w:rsidP="000D6CDE">
      <w:pPr>
        <w:pStyle w:val="doc-a"/>
        <w:ind w:firstLineChars="200" w:firstLine="560"/>
        <w:rPr>
          <w:rFonts w:ascii="仿宋" w:eastAsia="仿宋" w:hAnsi="仿宋" w:cs="Arial"/>
          <w:color w:val="333333"/>
          <w:sz w:val="28"/>
          <w:szCs w:val="28"/>
          <w:lang w:val="en"/>
        </w:rPr>
      </w:pPr>
      <w:r w:rsidRPr="000D6CDE">
        <w:rPr>
          <w:rFonts w:ascii="仿宋" w:eastAsia="仿宋" w:hAnsi="仿宋" w:cs="Arial"/>
          <w:color w:val="333333"/>
          <w:sz w:val="28"/>
          <w:szCs w:val="28"/>
          <w:lang w:val="en"/>
        </w:rPr>
        <w:lastRenderedPageBreak/>
        <w:t>四、本公告第一条适用于2019年度和2020年度的综合所得年度汇算清缴。其他事项适用于2019年度及以后年度的综合所得年度汇算清缴。</w:t>
      </w:r>
    </w:p>
    <w:p w:rsidR="00E46A2C" w:rsidRDefault="00E46A2C" w:rsidP="000D6CDE">
      <w:pPr>
        <w:pStyle w:val="doc-a"/>
        <w:ind w:firstLineChars="200" w:firstLine="560"/>
        <w:rPr>
          <w:rFonts w:ascii="仿宋" w:eastAsia="仿宋" w:hAnsi="仿宋" w:cs="Arial" w:hint="eastAsia"/>
          <w:color w:val="333333"/>
          <w:sz w:val="28"/>
          <w:szCs w:val="28"/>
          <w:lang w:val="en"/>
        </w:rPr>
      </w:pPr>
      <w:r w:rsidRPr="000D6CDE">
        <w:rPr>
          <w:rFonts w:ascii="仿宋" w:eastAsia="仿宋" w:hAnsi="仿宋" w:cs="Arial"/>
          <w:color w:val="333333"/>
          <w:sz w:val="28"/>
          <w:szCs w:val="28"/>
          <w:lang w:val="en"/>
        </w:rPr>
        <w:t>特此公告。</w:t>
      </w:r>
    </w:p>
    <w:p w:rsidR="000D6CDE" w:rsidRDefault="000D6CDE" w:rsidP="000D6CDE">
      <w:pPr>
        <w:pStyle w:val="doc-a"/>
        <w:ind w:firstLineChars="200" w:firstLine="560"/>
        <w:rPr>
          <w:rFonts w:ascii="仿宋" w:eastAsia="仿宋" w:hAnsi="仿宋" w:cs="Arial" w:hint="eastAsia"/>
          <w:color w:val="333333"/>
          <w:sz w:val="28"/>
          <w:szCs w:val="28"/>
          <w:lang w:val="en"/>
        </w:rPr>
      </w:pPr>
    </w:p>
    <w:p w:rsidR="000D6CDE" w:rsidRDefault="000D6CDE" w:rsidP="000D6CDE">
      <w:pPr>
        <w:pStyle w:val="doc-a"/>
        <w:ind w:firstLineChars="200" w:firstLine="560"/>
        <w:rPr>
          <w:rFonts w:ascii="仿宋" w:eastAsia="仿宋" w:hAnsi="仿宋" w:cs="Arial" w:hint="eastAsia"/>
          <w:color w:val="333333"/>
          <w:sz w:val="28"/>
          <w:szCs w:val="28"/>
          <w:lang w:val="en"/>
        </w:rPr>
      </w:pPr>
    </w:p>
    <w:p w:rsidR="000D6CDE" w:rsidRPr="000D6CDE" w:rsidRDefault="000D6CDE" w:rsidP="000D6CDE">
      <w:pPr>
        <w:pStyle w:val="doc-a"/>
        <w:ind w:firstLineChars="200" w:firstLine="560"/>
        <w:rPr>
          <w:rFonts w:ascii="仿宋" w:eastAsia="仿宋" w:hAnsi="仿宋" w:cs="Arial"/>
          <w:color w:val="333333"/>
          <w:sz w:val="28"/>
          <w:szCs w:val="28"/>
          <w:lang w:val="en"/>
        </w:rPr>
      </w:pPr>
    </w:p>
    <w:p w:rsidR="00E46A2C" w:rsidRPr="000D6CDE" w:rsidRDefault="00E46A2C" w:rsidP="000D6CDE">
      <w:pPr>
        <w:pStyle w:val="promulgatesignatory"/>
        <w:ind w:firstLineChars="1650" w:firstLine="4620"/>
        <w:rPr>
          <w:rFonts w:ascii="仿宋" w:eastAsia="仿宋" w:hAnsi="仿宋" w:cs="Arial"/>
          <w:color w:val="333333"/>
          <w:sz w:val="28"/>
          <w:szCs w:val="28"/>
          <w:lang w:val="en"/>
        </w:rPr>
      </w:pPr>
      <w:r w:rsidRPr="000D6CDE">
        <w:rPr>
          <w:rFonts w:ascii="仿宋" w:eastAsia="仿宋" w:hAnsi="仿宋" w:cs="Arial"/>
          <w:color w:val="333333"/>
          <w:sz w:val="28"/>
          <w:szCs w:val="28"/>
          <w:lang w:val="en"/>
        </w:rPr>
        <w:t>财政部 税务总局</w:t>
      </w:r>
    </w:p>
    <w:p w:rsidR="00E46A2C" w:rsidRPr="000D6CDE" w:rsidRDefault="00E46A2C" w:rsidP="000D6CDE">
      <w:pPr>
        <w:pStyle w:val="promulgatedate"/>
        <w:ind w:firstLineChars="1600" w:firstLine="4480"/>
        <w:rPr>
          <w:rFonts w:ascii="仿宋" w:eastAsia="仿宋" w:hAnsi="仿宋" w:cs="Arial"/>
          <w:color w:val="333333"/>
          <w:sz w:val="28"/>
          <w:szCs w:val="28"/>
          <w:lang w:val="en"/>
        </w:rPr>
      </w:pPr>
      <w:r w:rsidRPr="000D6CDE">
        <w:rPr>
          <w:rFonts w:ascii="仿宋" w:eastAsia="仿宋" w:hAnsi="仿宋" w:cs="Arial"/>
          <w:color w:val="333333"/>
          <w:sz w:val="28"/>
          <w:szCs w:val="28"/>
          <w:lang w:val="en"/>
        </w:rPr>
        <w:t>2019年12月7日</w:t>
      </w:r>
    </w:p>
    <w:p w:rsidR="003A29BC" w:rsidRPr="000D6CDE" w:rsidRDefault="00466F95">
      <w:pPr>
        <w:rPr>
          <w:rFonts w:ascii="仿宋" w:eastAsia="仿宋" w:hAnsi="仿宋"/>
          <w:sz w:val="28"/>
          <w:szCs w:val="28"/>
        </w:rPr>
      </w:pPr>
    </w:p>
    <w:sectPr w:rsidR="003A29BC" w:rsidRPr="000D6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95" w:rsidRDefault="00466F95" w:rsidP="00E46A2C">
      <w:r>
        <w:separator/>
      </w:r>
    </w:p>
  </w:endnote>
  <w:endnote w:type="continuationSeparator" w:id="0">
    <w:p w:rsidR="00466F95" w:rsidRDefault="00466F95" w:rsidP="00E4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95" w:rsidRDefault="00466F95" w:rsidP="00E46A2C">
      <w:r>
        <w:separator/>
      </w:r>
    </w:p>
  </w:footnote>
  <w:footnote w:type="continuationSeparator" w:id="0">
    <w:p w:rsidR="00466F95" w:rsidRDefault="00466F95" w:rsidP="00E46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05"/>
    <w:rsid w:val="000D6CDE"/>
    <w:rsid w:val="00466F95"/>
    <w:rsid w:val="005F1E10"/>
    <w:rsid w:val="00650FA4"/>
    <w:rsid w:val="006F4B97"/>
    <w:rsid w:val="00E41E05"/>
    <w:rsid w:val="00E4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6A2C"/>
    <w:rPr>
      <w:sz w:val="18"/>
      <w:szCs w:val="18"/>
    </w:rPr>
  </w:style>
  <w:style w:type="paragraph" w:styleId="a4">
    <w:name w:val="footer"/>
    <w:basedOn w:val="a"/>
    <w:link w:val="Char0"/>
    <w:uiPriority w:val="99"/>
    <w:unhideWhenUsed/>
    <w:rsid w:val="00E46A2C"/>
    <w:pPr>
      <w:tabs>
        <w:tab w:val="center" w:pos="4153"/>
        <w:tab w:val="right" w:pos="8306"/>
      </w:tabs>
      <w:snapToGrid w:val="0"/>
      <w:jc w:val="left"/>
    </w:pPr>
    <w:rPr>
      <w:sz w:val="18"/>
      <w:szCs w:val="18"/>
    </w:rPr>
  </w:style>
  <w:style w:type="character" w:customStyle="1" w:styleId="Char0">
    <w:name w:val="页脚 Char"/>
    <w:basedOn w:val="a0"/>
    <w:link w:val="a4"/>
    <w:uiPriority w:val="99"/>
    <w:rsid w:val="00E46A2C"/>
    <w:rPr>
      <w:sz w:val="18"/>
      <w:szCs w:val="18"/>
    </w:rPr>
  </w:style>
  <w:style w:type="character" w:styleId="a5">
    <w:name w:val="Hyperlink"/>
    <w:basedOn w:val="a0"/>
    <w:uiPriority w:val="99"/>
    <w:semiHidden/>
    <w:unhideWhenUsed/>
    <w:rsid w:val="00E46A2C"/>
    <w:rPr>
      <w:strike w:val="0"/>
      <w:dstrike w:val="0"/>
      <w:color w:val="337AB7"/>
      <w:u w:val="none"/>
      <w:effect w:val="none"/>
      <w:shd w:val="clear" w:color="auto" w:fill="auto"/>
    </w:rPr>
  </w:style>
  <w:style w:type="paragraph" w:customStyle="1" w:styleId="promulgatetitle">
    <w:name w:val="promulgatetitle"/>
    <w:basedOn w:val="a"/>
    <w:rsid w:val="00E46A2C"/>
    <w:pPr>
      <w:widowControl/>
      <w:spacing w:after="150"/>
      <w:jc w:val="left"/>
    </w:pPr>
    <w:rPr>
      <w:rFonts w:ascii="宋体" w:eastAsia="宋体" w:hAnsi="宋体" w:cs="宋体"/>
      <w:kern w:val="0"/>
      <w:sz w:val="24"/>
      <w:szCs w:val="24"/>
    </w:rPr>
  </w:style>
  <w:style w:type="paragraph" w:customStyle="1" w:styleId="promulgatesubtitle">
    <w:name w:val="promulgatesubtitle"/>
    <w:basedOn w:val="a"/>
    <w:rsid w:val="00E46A2C"/>
    <w:pPr>
      <w:widowControl/>
      <w:spacing w:after="150"/>
      <w:jc w:val="left"/>
    </w:pPr>
    <w:rPr>
      <w:rFonts w:ascii="宋体" w:eastAsia="宋体" w:hAnsi="宋体" w:cs="宋体"/>
      <w:kern w:val="0"/>
      <w:sz w:val="24"/>
      <w:szCs w:val="24"/>
    </w:rPr>
  </w:style>
  <w:style w:type="paragraph" w:customStyle="1" w:styleId="doc-a">
    <w:name w:val="doc-a"/>
    <w:basedOn w:val="a"/>
    <w:rsid w:val="00E46A2C"/>
    <w:pPr>
      <w:widowControl/>
      <w:spacing w:after="150"/>
      <w:jc w:val="left"/>
    </w:pPr>
    <w:rPr>
      <w:rFonts w:ascii="宋体" w:eastAsia="宋体" w:hAnsi="宋体" w:cs="宋体"/>
      <w:kern w:val="0"/>
      <w:sz w:val="24"/>
      <w:szCs w:val="24"/>
    </w:rPr>
  </w:style>
  <w:style w:type="paragraph" w:customStyle="1" w:styleId="promulgatesignatory">
    <w:name w:val="promulgatesignatory"/>
    <w:basedOn w:val="a"/>
    <w:rsid w:val="00E46A2C"/>
    <w:pPr>
      <w:widowControl/>
      <w:spacing w:after="150"/>
      <w:jc w:val="left"/>
    </w:pPr>
    <w:rPr>
      <w:rFonts w:ascii="宋体" w:eastAsia="宋体" w:hAnsi="宋体" w:cs="宋体"/>
      <w:kern w:val="0"/>
      <w:sz w:val="24"/>
      <w:szCs w:val="24"/>
    </w:rPr>
  </w:style>
  <w:style w:type="paragraph" w:customStyle="1" w:styleId="promulgatedate">
    <w:name w:val="promulgatedate"/>
    <w:basedOn w:val="a"/>
    <w:rsid w:val="00E46A2C"/>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6A2C"/>
    <w:rPr>
      <w:sz w:val="18"/>
      <w:szCs w:val="18"/>
    </w:rPr>
  </w:style>
  <w:style w:type="paragraph" w:styleId="a4">
    <w:name w:val="footer"/>
    <w:basedOn w:val="a"/>
    <w:link w:val="Char0"/>
    <w:uiPriority w:val="99"/>
    <w:unhideWhenUsed/>
    <w:rsid w:val="00E46A2C"/>
    <w:pPr>
      <w:tabs>
        <w:tab w:val="center" w:pos="4153"/>
        <w:tab w:val="right" w:pos="8306"/>
      </w:tabs>
      <w:snapToGrid w:val="0"/>
      <w:jc w:val="left"/>
    </w:pPr>
    <w:rPr>
      <w:sz w:val="18"/>
      <w:szCs w:val="18"/>
    </w:rPr>
  </w:style>
  <w:style w:type="character" w:customStyle="1" w:styleId="Char0">
    <w:name w:val="页脚 Char"/>
    <w:basedOn w:val="a0"/>
    <w:link w:val="a4"/>
    <w:uiPriority w:val="99"/>
    <w:rsid w:val="00E46A2C"/>
    <w:rPr>
      <w:sz w:val="18"/>
      <w:szCs w:val="18"/>
    </w:rPr>
  </w:style>
  <w:style w:type="character" w:styleId="a5">
    <w:name w:val="Hyperlink"/>
    <w:basedOn w:val="a0"/>
    <w:uiPriority w:val="99"/>
    <w:semiHidden/>
    <w:unhideWhenUsed/>
    <w:rsid w:val="00E46A2C"/>
    <w:rPr>
      <w:strike w:val="0"/>
      <w:dstrike w:val="0"/>
      <w:color w:val="337AB7"/>
      <w:u w:val="none"/>
      <w:effect w:val="none"/>
      <w:shd w:val="clear" w:color="auto" w:fill="auto"/>
    </w:rPr>
  </w:style>
  <w:style w:type="paragraph" w:customStyle="1" w:styleId="promulgatetitle">
    <w:name w:val="promulgatetitle"/>
    <w:basedOn w:val="a"/>
    <w:rsid w:val="00E46A2C"/>
    <w:pPr>
      <w:widowControl/>
      <w:spacing w:after="150"/>
      <w:jc w:val="left"/>
    </w:pPr>
    <w:rPr>
      <w:rFonts w:ascii="宋体" w:eastAsia="宋体" w:hAnsi="宋体" w:cs="宋体"/>
      <w:kern w:val="0"/>
      <w:sz w:val="24"/>
      <w:szCs w:val="24"/>
    </w:rPr>
  </w:style>
  <w:style w:type="paragraph" w:customStyle="1" w:styleId="promulgatesubtitle">
    <w:name w:val="promulgatesubtitle"/>
    <w:basedOn w:val="a"/>
    <w:rsid w:val="00E46A2C"/>
    <w:pPr>
      <w:widowControl/>
      <w:spacing w:after="150"/>
      <w:jc w:val="left"/>
    </w:pPr>
    <w:rPr>
      <w:rFonts w:ascii="宋体" w:eastAsia="宋体" w:hAnsi="宋体" w:cs="宋体"/>
      <w:kern w:val="0"/>
      <w:sz w:val="24"/>
      <w:szCs w:val="24"/>
    </w:rPr>
  </w:style>
  <w:style w:type="paragraph" w:customStyle="1" w:styleId="doc-a">
    <w:name w:val="doc-a"/>
    <w:basedOn w:val="a"/>
    <w:rsid w:val="00E46A2C"/>
    <w:pPr>
      <w:widowControl/>
      <w:spacing w:after="150"/>
      <w:jc w:val="left"/>
    </w:pPr>
    <w:rPr>
      <w:rFonts w:ascii="宋体" w:eastAsia="宋体" w:hAnsi="宋体" w:cs="宋体"/>
      <w:kern w:val="0"/>
      <w:sz w:val="24"/>
      <w:szCs w:val="24"/>
    </w:rPr>
  </w:style>
  <w:style w:type="paragraph" w:customStyle="1" w:styleId="promulgatesignatory">
    <w:name w:val="promulgatesignatory"/>
    <w:basedOn w:val="a"/>
    <w:rsid w:val="00E46A2C"/>
    <w:pPr>
      <w:widowControl/>
      <w:spacing w:after="150"/>
      <w:jc w:val="left"/>
    </w:pPr>
    <w:rPr>
      <w:rFonts w:ascii="宋体" w:eastAsia="宋体" w:hAnsi="宋体" w:cs="宋体"/>
      <w:kern w:val="0"/>
      <w:sz w:val="24"/>
      <w:szCs w:val="24"/>
    </w:rPr>
  </w:style>
  <w:style w:type="paragraph" w:customStyle="1" w:styleId="promulgatedate">
    <w:name w:val="promulgatedate"/>
    <w:basedOn w:val="a"/>
    <w:rsid w:val="00E46A2C"/>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464961">
      <w:bodyDiv w:val="1"/>
      <w:marLeft w:val="0"/>
      <w:marRight w:val="0"/>
      <w:marTop w:val="0"/>
      <w:marBottom w:val="0"/>
      <w:divBdr>
        <w:top w:val="none" w:sz="0" w:space="0" w:color="auto"/>
        <w:left w:val="none" w:sz="0" w:space="0" w:color="auto"/>
        <w:bottom w:val="none" w:sz="0" w:space="0" w:color="auto"/>
        <w:right w:val="none" w:sz="0" w:space="0" w:color="auto"/>
      </w:divBdr>
      <w:divsChild>
        <w:div w:id="860048732">
          <w:marLeft w:val="0"/>
          <w:marRight w:val="0"/>
          <w:marTop w:val="0"/>
          <w:marBottom w:val="0"/>
          <w:divBdr>
            <w:top w:val="none" w:sz="0" w:space="0" w:color="auto"/>
            <w:left w:val="none" w:sz="0" w:space="0" w:color="auto"/>
            <w:bottom w:val="none" w:sz="0" w:space="0" w:color="auto"/>
            <w:right w:val="none" w:sz="0" w:space="0" w:color="auto"/>
          </w:divBdr>
          <w:divsChild>
            <w:div w:id="904219388">
              <w:marLeft w:val="-225"/>
              <w:marRight w:val="-225"/>
              <w:marTop w:val="0"/>
              <w:marBottom w:val="0"/>
              <w:divBdr>
                <w:top w:val="none" w:sz="0" w:space="0" w:color="auto"/>
                <w:left w:val="none" w:sz="0" w:space="0" w:color="auto"/>
                <w:bottom w:val="none" w:sz="0" w:space="0" w:color="auto"/>
                <w:right w:val="none" w:sz="0" w:space="0" w:color="auto"/>
              </w:divBdr>
              <w:divsChild>
                <w:div w:id="1938754599">
                  <w:marLeft w:val="0"/>
                  <w:marRight w:val="0"/>
                  <w:marTop w:val="0"/>
                  <w:marBottom w:val="0"/>
                  <w:divBdr>
                    <w:top w:val="none" w:sz="0" w:space="0" w:color="auto"/>
                    <w:left w:val="none" w:sz="0" w:space="0" w:color="auto"/>
                    <w:bottom w:val="none" w:sz="0" w:space="0" w:color="auto"/>
                    <w:right w:val="none" w:sz="0" w:space="0" w:color="auto"/>
                  </w:divBdr>
                  <w:divsChild>
                    <w:div w:id="447284941">
                      <w:marLeft w:val="0"/>
                      <w:marRight w:val="0"/>
                      <w:marTop w:val="0"/>
                      <w:marBottom w:val="0"/>
                      <w:divBdr>
                        <w:top w:val="none" w:sz="0" w:space="0" w:color="auto"/>
                        <w:left w:val="none" w:sz="0" w:space="0" w:color="auto"/>
                        <w:bottom w:val="none" w:sz="0" w:space="0" w:color="auto"/>
                        <w:right w:val="none" w:sz="0" w:space="0" w:color="auto"/>
                      </w:divBdr>
                      <w:divsChild>
                        <w:div w:id="1038627971">
                          <w:marLeft w:val="0"/>
                          <w:marRight w:val="0"/>
                          <w:marTop w:val="0"/>
                          <w:marBottom w:val="0"/>
                          <w:divBdr>
                            <w:top w:val="none" w:sz="0" w:space="0" w:color="auto"/>
                            <w:left w:val="none" w:sz="0" w:space="0" w:color="auto"/>
                            <w:bottom w:val="none" w:sz="0" w:space="0" w:color="auto"/>
                            <w:right w:val="none" w:sz="0" w:space="0" w:color="auto"/>
                          </w:divBdr>
                          <w:divsChild>
                            <w:div w:id="650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taa.wkinfo.com.cn/document/show?collection=legislation&amp;aid=MTAxMDAxMjkzOTg%3D&amp;language=&#20013;&#259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苏文青</dc:creator>
  <cp:keywords/>
  <dc:description/>
  <cp:lastModifiedBy>gyb1</cp:lastModifiedBy>
  <cp:revision>3</cp:revision>
  <dcterms:created xsi:type="dcterms:W3CDTF">2019-12-27T02:35:00Z</dcterms:created>
  <dcterms:modified xsi:type="dcterms:W3CDTF">2019-12-27T06:03:00Z</dcterms:modified>
</cp:coreProperties>
</file>