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360" w:lineRule="auto"/>
        <w:ind w:left="720" w:right="646"/>
        <w:jc w:val="both"/>
        <w:rPr>
          <w:rFonts w:hint="eastAsia" w:ascii="宋体" w:hAnsi="宋体" w:eastAsia="宋体" w:cs="宋体"/>
          <w:b/>
          <w:bCs/>
          <w:color w:val="000000" w:themeColor="text1"/>
          <w:sz w:val="28"/>
          <w:szCs w:val="28"/>
          <w:shd w:val="clear"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fill="FFFFFF"/>
          <w:lang w:val="en-US" w:eastAsia="zh-CN"/>
          <w14:textFill>
            <w14:solidFill>
              <w14:schemeClr w14:val="tx1"/>
            </w14:solidFill>
          </w14:textFill>
        </w:rPr>
        <w:t>附件1：</w:t>
      </w:r>
    </w:p>
    <w:p>
      <w:pPr>
        <w:pStyle w:val="2"/>
        <w:keepNext w:val="0"/>
        <w:keepLines w:val="0"/>
        <w:widowControl/>
        <w:suppressLineNumbers w:val="0"/>
        <w:spacing w:before="0" w:beforeAutospacing="0" w:after="0" w:afterAutospacing="0" w:line="360" w:lineRule="auto"/>
        <w:ind w:left="720" w:right="646"/>
        <w:jc w:val="center"/>
        <w:rPr>
          <w:rFonts w:hint="eastAsia" w:ascii="宋体" w:hAnsi="宋体" w:eastAsia="宋体" w:cs="宋体"/>
          <w:b/>
          <w:bCs/>
          <w:color w:val="000000" w:themeColor="text1"/>
          <w:sz w:val="32"/>
          <w:szCs w:val="32"/>
          <w:shd w:val="clear" w:fill="FFFFFF"/>
          <w:lang w:val="en-US" w:eastAsia="zh-CN"/>
          <w14:textFill>
            <w14:solidFill>
              <w14:schemeClr w14:val="tx1"/>
            </w14:solidFill>
          </w14:textFill>
        </w:rPr>
      </w:pPr>
      <w:r>
        <w:rPr>
          <w:rFonts w:hint="eastAsia" w:ascii="宋体" w:hAnsi="宋体" w:eastAsia="宋体" w:cs="宋体"/>
          <w:b/>
          <w:bCs/>
          <w:color w:val="000000" w:themeColor="text1"/>
          <w:sz w:val="32"/>
          <w:szCs w:val="32"/>
          <w:shd w:val="clear" w:fill="FFFFFF"/>
          <w:lang w:val="en-US" w:eastAsia="zh-CN"/>
          <w14:textFill>
            <w14:solidFill>
              <w14:schemeClr w14:val="tx1"/>
            </w14:solidFill>
          </w14:textFill>
        </w:rPr>
        <w:t>报名须知</w:t>
      </w:r>
    </w:p>
    <w:p>
      <w:pPr>
        <w:pStyle w:val="2"/>
        <w:keepNext w:val="0"/>
        <w:keepLines w:val="0"/>
        <w:widowControl/>
        <w:numPr>
          <w:ilvl w:val="0"/>
          <w:numId w:val="1"/>
        </w:numPr>
        <w:suppressLineNumbers w:val="0"/>
        <w:spacing w:before="0" w:beforeAutospacing="0" w:after="0" w:afterAutospacing="0" w:line="360" w:lineRule="auto"/>
        <w:ind w:left="720" w:right="646"/>
        <w:jc w:val="both"/>
        <w:rPr>
          <w:rFonts w:hint="eastAsia" w:ascii="宋体" w:hAnsi="宋体" w:eastAsia="宋体" w:cs="宋体"/>
          <w:color w:val="000000" w:themeColor="text1"/>
          <w:sz w:val="28"/>
          <w:szCs w:val="28"/>
          <w:shd w:val="clear" w:fill="FFFFFF"/>
          <w:lang w:val="en-US" w:eastAsia="zh-CN"/>
          <w14:textFill>
            <w14:solidFill>
              <w14:schemeClr w14:val="tx1"/>
            </w14:solidFill>
          </w14:textFill>
        </w:rPr>
      </w:pPr>
      <w:r>
        <w:rPr>
          <w:rFonts w:hint="eastAsia" w:ascii="宋体" w:hAnsi="宋体" w:eastAsia="宋体" w:cs="宋体"/>
          <w:b/>
          <w:bCs/>
          <w:color w:val="000000" w:themeColor="text1"/>
          <w:sz w:val="28"/>
          <w:szCs w:val="28"/>
          <w:shd w:val="clear" w:fill="FFFFFF"/>
          <w:lang w:val="en-US" w:eastAsia="zh-CN"/>
          <w14:textFill>
            <w14:solidFill>
              <w14:schemeClr w14:val="tx1"/>
            </w14:solidFill>
          </w14:textFill>
        </w:rPr>
        <w:t>培训费用说明</w:t>
      </w:r>
    </w:p>
    <w:p>
      <w:pPr>
        <w:rPr>
          <w:rFonts w:hint="default" w:ascii="宋体" w:hAnsi="宋体" w:eastAsia="宋体" w:cs="宋体"/>
          <w:color w:val="000000" w:themeColor="text1"/>
          <w:sz w:val="28"/>
          <w:szCs w:val="28"/>
          <w:shd w:val="clear" w:color="auto"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fill="FFFFFF"/>
          <w:lang w:val="en-US" w:eastAsia="zh-CN"/>
          <w14:textFill>
            <w14:solidFill>
              <w14:schemeClr w14:val="tx1"/>
            </w14:solidFill>
          </w14:textFill>
        </w:rPr>
        <w:t xml:space="preserve">    </w:t>
      </w:r>
      <w:r>
        <w:rPr>
          <w:rFonts w:hint="default" w:ascii="宋体" w:hAnsi="宋体" w:eastAsia="宋体" w:cs="宋体"/>
          <w:color w:val="000000" w:themeColor="text1"/>
          <w:sz w:val="28"/>
          <w:szCs w:val="28"/>
          <w:shd w:val="clear" w:color="auto" w:fill="FFFFFF"/>
          <w:lang w:val="en-US"/>
          <w14:textFill>
            <w14:solidFill>
              <w14:schemeClr w14:val="tx1"/>
            </w14:solidFill>
          </w14:textFill>
        </w:rPr>
        <w:t>1.</w:t>
      </w: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培训费：根据实际报名情况，预计1.6-2万元/人，其中中税协负担60%，个人负担40%，具体收缴费用待报名后另行通知。</w:t>
      </w:r>
    </w:p>
    <w:p>
      <w:pPr>
        <w:pStyle w:val="2"/>
        <w:keepNext w:val="0"/>
        <w:keepLines w:val="0"/>
        <w:widowControl/>
        <w:numPr>
          <w:ilvl w:val="0"/>
          <w:numId w:val="0"/>
        </w:numPr>
        <w:suppressLineNumbers w:val="0"/>
        <w:spacing w:before="0" w:beforeAutospacing="0" w:after="0" w:afterAutospacing="0" w:line="360" w:lineRule="auto"/>
        <w:ind w:right="646" w:rightChars="0" w:firstLine="560" w:firstLineChars="200"/>
        <w:jc w:val="both"/>
        <w:rPr>
          <w:rFonts w:hint="default" w:ascii="宋体" w:hAnsi="宋体" w:eastAsia="宋体" w:cs="宋体"/>
          <w:color w:val="000000" w:themeColor="text1"/>
          <w:sz w:val="28"/>
          <w:szCs w:val="28"/>
          <w:shd w:val="clear" w:fill="FFFFFF"/>
          <w:lang w:val="en-US" w:eastAsia="zh-CN"/>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2.培训期间交通食宿费自理。</w:t>
      </w:r>
    </w:p>
    <w:p>
      <w:pPr>
        <w:pStyle w:val="2"/>
        <w:keepNext w:val="0"/>
        <w:keepLines w:val="0"/>
        <w:widowControl/>
        <w:numPr>
          <w:ilvl w:val="0"/>
          <w:numId w:val="1"/>
        </w:numPr>
        <w:suppressLineNumbers w:val="0"/>
        <w:spacing w:before="0" w:beforeAutospacing="0" w:after="0" w:afterAutospacing="0" w:line="360" w:lineRule="auto"/>
        <w:ind w:left="720" w:right="646"/>
        <w:jc w:val="both"/>
        <w:rPr>
          <w:rFonts w:hint="default" w:ascii="宋体" w:hAnsi="宋体" w:eastAsia="宋体" w:cs="宋体"/>
          <w:b/>
          <w:bCs/>
          <w:color w:val="000000" w:themeColor="text1"/>
          <w:sz w:val="28"/>
          <w:szCs w:val="28"/>
          <w:shd w:val="clear" w:fill="FFFFFF"/>
          <w:lang w:val="en-US" w:eastAsia="zh-CN"/>
          <w14:textFill>
            <w14:solidFill>
              <w14:schemeClr w14:val="tx1"/>
            </w14:solidFill>
          </w14:textFill>
        </w:rPr>
      </w:pPr>
      <w:r>
        <w:rPr>
          <w:rFonts w:hint="eastAsia" w:ascii="宋体" w:hAnsi="宋体" w:eastAsia="宋体" w:cs="宋体"/>
          <w:b/>
          <w:bCs/>
          <w:color w:val="000000" w:themeColor="text1"/>
          <w:sz w:val="28"/>
          <w:szCs w:val="28"/>
          <w:shd w:val="clear" w:fill="FFFFFF"/>
          <w:lang w:val="en-US" w:eastAsia="zh-CN"/>
          <w14:textFill>
            <w14:solidFill>
              <w14:schemeClr w14:val="tx1"/>
            </w14:solidFill>
          </w14:textFill>
        </w:rPr>
        <w:t>培训课程安排</w:t>
      </w:r>
    </w:p>
    <w:p>
      <w:pPr>
        <w:pStyle w:val="5"/>
        <w:numPr>
          <w:ilvl w:val="0"/>
          <w:numId w:val="2"/>
        </w:numPr>
        <w:ind w:firstLineChars="0"/>
        <w:rPr>
          <w:rFonts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宏观政治经济形势及政策解读专题</w:t>
      </w:r>
    </w:p>
    <w:p>
      <w:pPr>
        <w:ind w:left="600"/>
        <w:rPr>
          <w:rFonts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1.</w:t>
      </w:r>
      <w:r>
        <w:rPr>
          <w:rFonts w:hint="eastAsia" w:ascii="宋体" w:hAnsi="宋体" w:eastAsia="宋体" w:cs="宋体"/>
          <w:color w:val="000000" w:themeColor="text1"/>
          <w:sz w:val="28"/>
          <w:szCs w:val="28"/>
          <w:shd w:val="clear" w:color="auto" w:fill="FFFFFF"/>
          <w14:textFill>
            <w14:solidFill>
              <w14:schemeClr w14:val="tx1"/>
            </w14:solidFill>
          </w14:textFill>
        </w:rPr>
        <w:t>时间：2019年9月</w:t>
      </w:r>
      <w:r>
        <w:rPr>
          <w:rFonts w:hint="eastAsia" w:ascii="宋体" w:hAnsi="宋体" w:eastAsia="宋体" w:cs="宋体"/>
          <w:color w:val="000000" w:themeColor="text1"/>
          <w:sz w:val="28"/>
          <w:szCs w:val="28"/>
          <w:shd w:val="clear" w:fill="FFFFFF"/>
          <w:lang w:val="en-US" w:eastAsia="zh-CN"/>
          <w14:textFill>
            <w14:solidFill>
              <w14:schemeClr w14:val="tx1"/>
            </w14:solidFill>
          </w14:textFill>
        </w:rPr>
        <w:t>20-22日</w:t>
      </w:r>
    </w:p>
    <w:p>
      <w:pPr>
        <w:ind w:firstLine="600"/>
        <w:rPr>
          <w:rFonts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2.</w:t>
      </w:r>
      <w:r>
        <w:rPr>
          <w:rFonts w:hint="eastAsia" w:ascii="宋体" w:hAnsi="宋体" w:eastAsia="宋体" w:cs="宋体"/>
          <w:color w:val="000000" w:themeColor="text1"/>
          <w:sz w:val="28"/>
          <w:szCs w:val="28"/>
          <w:shd w:val="clear" w:color="auto" w:fill="FFFFFF"/>
          <w14:textFill>
            <w14:solidFill>
              <w14:schemeClr w14:val="tx1"/>
            </w14:solidFill>
          </w14:textFill>
        </w:rPr>
        <w:t>培养目的：</w:t>
      </w:r>
      <w:r>
        <w:rPr>
          <w:rFonts w:hint="eastAsia" w:ascii="仿宋" w:hAnsi="仿宋" w:eastAsia="仿宋" w:cs="仿宋"/>
          <w:color w:val="000000" w:themeColor="text1"/>
          <w:sz w:val="32"/>
          <w:szCs w:val="32"/>
          <w14:textFill>
            <w14:solidFill>
              <w14:schemeClr w14:val="tx1"/>
            </w14:solidFill>
          </w14:textFill>
        </w:rPr>
        <w:t>提升学员对政治、经济和社会发展走向的宏观把控能力，使其能够结合当前国内国际大背景、大趋势更好地理解和把握我国宏观经济政策及税收制度改革的大方向、大战略。</w:t>
      </w:r>
    </w:p>
    <w:p>
      <w:pPr>
        <w:ind w:firstLine="600"/>
        <w:rPr>
          <w:rFonts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3.</w:t>
      </w:r>
      <w:r>
        <w:rPr>
          <w:rFonts w:hint="eastAsia" w:ascii="宋体" w:hAnsi="宋体" w:eastAsia="宋体" w:cs="宋体"/>
          <w:color w:val="000000" w:themeColor="text1"/>
          <w:sz w:val="28"/>
          <w:szCs w:val="28"/>
          <w:shd w:val="clear" w:color="auto" w:fill="FFFFFF"/>
          <w14:textFill>
            <w14:solidFill>
              <w14:schemeClr w14:val="tx1"/>
            </w14:solidFill>
          </w14:textFill>
        </w:rPr>
        <w:t>课程安排：</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（1）习近平新时代中国特色社会主义思想解读（8学时）。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（2）国家宏观经济政策及形势解读（8学时）。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（3）经济全球化与WTO改革——全球宏观经济发展趋势与影响因素分析（4学时）。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（4）中国特色大国外交及新型大国关系构建（4学时）。</w:t>
      </w:r>
    </w:p>
    <w:p>
      <w:pPr>
        <w:ind w:firstLine="600"/>
        <w:rPr>
          <w:rFonts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（二）税收政策前沿问题研讨专题</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1.</w:t>
      </w:r>
      <w:r>
        <w:rPr>
          <w:rFonts w:hint="eastAsia" w:ascii="宋体" w:hAnsi="宋体" w:eastAsia="宋体" w:cs="宋体"/>
          <w:color w:val="000000" w:themeColor="text1"/>
          <w:sz w:val="28"/>
          <w:szCs w:val="28"/>
          <w:shd w:val="clear" w:color="auto" w:fill="FFFFFF"/>
          <w14:textFill>
            <w14:solidFill>
              <w14:schemeClr w14:val="tx1"/>
            </w14:solidFill>
          </w14:textFill>
        </w:rPr>
        <w:t>时间：2019年12月</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2.</w:t>
      </w:r>
      <w:r>
        <w:rPr>
          <w:rFonts w:hint="eastAsia" w:ascii="宋体" w:hAnsi="宋体" w:eastAsia="宋体" w:cs="宋体"/>
          <w:color w:val="000000" w:themeColor="text1"/>
          <w:sz w:val="28"/>
          <w:szCs w:val="28"/>
          <w:shd w:val="clear" w:color="auto" w:fill="FFFFFF"/>
          <w14:textFill>
            <w14:solidFill>
              <w14:schemeClr w14:val="tx1"/>
            </w14:solidFill>
          </w14:textFill>
        </w:rPr>
        <w:t>培养目的：提升学员对国家税收制度和税收政策目标设定、价值遵循、功能设置，以及实现路径等的理解能力，使其能够在工作中真正抓住国家税收法律法规和重大政策措施的精神实质，从而更有效地执行。</w:t>
      </w:r>
    </w:p>
    <w:p>
      <w:pPr>
        <w:ind w:firstLine="600"/>
        <w:rPr>
          <w:rFonts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3.</w:t>
      </w:r>
      <w:r>
        <w:rPr>
          <w:rFonts w:hint="eastAsia" w:ascii="宋体" w:hAnsi="宋体" w:eastAsia="宋体" w:cs="宋体"/>
          <w:color w:val="000000" w:themeColor="text1"/>
          <w:sz w:val="28"/>
          <w:szCs w:val="28"/>
          <w:shd w:val="clear" w:color="auto" w:fill="FFFFFF"/>
          <w14:textFill>
            <w14:solidFill>
              <w14:schemeClr w14:val="tx1"/>
            </w14:solidFill>
          </w14:textFill>
        </w:rPr>
        <w:t>课程安排：</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（1）税收法定原则与财税体制改革（8学时）。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（2）落实“四实”、“四硬”，加大减税降费力度，服务实体经济发展（8学时）。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（3）助推居民消费升级的税收政策优化研究（4学时）。</w:t>
      </w:r>
    </w:p>
    <w:p>
      <w:pPr>
        <w:ind w:firstLine="600"/>
        <w:rPr>
          <w:rFonts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（4）财政补贴、税收优惠与企业创新产出结构（4学时）。</w:t>
      </w:r>
    </w:p>
    <w:p>
      <w:pPr>
        <w:ind w:firstLine="600"/>
        <w:rPr>
          <w:rFonts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（三）涉税专业服务行业转型升级专题</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1.</w:t>
      </w:r>
      <w:r>
        <w:rPr>
          <w:rFonts w:hint="eastAsia" w:ascii="宋体" w:hAnsi="宋体" w:eastAsia="宋体" w:cs="宋体"/>
          <w:color w:val="000000" w:themeColor="text1"/>
          <w:sz w:val="28"/>
          <w:szCs w:val="28"/>
          <w:shd w:val="clear" w:color="auto" w:fill="FFFFFF"/>
          <w14:textFill>
            <w14:solidFill>
              <w14:schemeClr w14:val="tx1"/>
            </w14:solidFill>
          </w14:textFill>
        </w:rPr>
        <w:t>时间：2020年3月</w:t>
      </w:r>
    </w:p>
    <w:p>
      <w:pPr>
        <w:ind w:firstLine="600"/>
        <w:rPr>
          <w:rFonts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2.</w:t>
      </w:r>
      <w:r>
        <w:rPr>
          <w:rFonts w:hint="eastAsia" w:ascii="宋体" w:hAnsi="宋体" w:eastAsia="宋体" w:cs="宋体"/>
          <w:color w:val="000000" w:themeColor="text1"/>
          <w:sz w:val="28"/>
          <w:szCs w:val="28"/>
          <w:shd w:val="clear" w:color="auto" w:fill="FFFFFF"/>
          <w14:textFill>
            <w14:solidFill>
              <w14:schemeClr w14:val="tx1"/>
            </w14:solidFill>
          </w14:textFill>
        </w:rPr>
        <w:t>培养目的：提升学员在新的经济形势和产业形态下对涉税行业发展趋势的研判能力，使其能够在工作中把握住行业发展的新动向和新态势，并有效的跟进和介入。同时，提升学员对社会专业服务机构运营管理的实操能力，使其能够更有效地从事相应的管理和运营工作，增强社会专业服务机构的整体竞争力。</w:t>
      </w:r>
    </w:p>
    <w:p>
      <w:pPr>
        <w:ind w:firstLine="600"/>
        <w:rPr>
          <w:rFonts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3.</w:t>
      </w:r>
      <w:r>
        <w:rPr>
          <w:rFonts w:hint="eastAsia" w:ascii="宋体" w:hAnsi="宋体" w:eastAsia="宋体" w:cs="宋体"/>
          <w:color w:val="000000" w:themeColor="text1"/>
          <w:sz w:val="28"/>
          <w:szCs w:val="28"/>
          <w:shd w:val="clear" w:color="auto" w:fill="FFFFFF"/>
          <w14:textFill>
            <w14:solidFill>
              <w14:schemeClr w14:val="tx1"/>
            </w14:solidFill>
          </w14:textFill>
        </w:rPr>
        <w:t>课程安排：</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（1）当前涉税专业服务发展热点问题研究（产业篇8学时）：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中国企业“走出去”、互联网产业、科技创新行业、混合所有制经济、产业园区及地方政府税务规划中涉税热点难点问题研究。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（2）当前涉税专业服务发展热点问题研究（服务篇8学时）：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合规框架下的资产配置及财富保值增值、企业破产重组前沿法律问题、家族财富管理与税务规划、跨国公司内部产品购买定价与税务规划。</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（3）涉税专业服务机构运营管理实务研究（4学时）：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涉税专业服务机构战略管理、法人治理、人力资源建设、业务流程构建、产品设计、质量控制、品牌宣传与保护等。</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（4）基于区块链技术的税收治理框架构建（4学时）</w:t>
      </w:r>
    </w:p>
    <w:p>
      <w:pPr>
        <w:ind w:firstLine="600"/>
        <w:rPr>
          <w:rFonts w:hint="eastAsia"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b/>
          <w:bCs/>
          <w:color w:val="000000" w:themeColor="text1"/>
          <w:sz w:val="28"/>
          <w:szCs w:val="28"/>
          <w:shd w:val="clear" w:color="auto" w:fill="FFFFFF"/>
          <w14:textFill>
            <w14:solidFill>
              <w14:schemeClr w14:val="tx1"/>
            </w14:solidFill>
          </w14:textFill>
        </w:rPr>
        <w:t>（四）国际经验与机遇分析专题</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1.</w:t>
      </w:r>
      <w:r>
        <w:rPr>
          <w:rFonts w:hint="eastAsia" w:ascii="宋体" w:hAnsi="宋体" w:eastAsia="宋体" w:cs="宋体"/>
          <w:color w:val="000000" w:themeColor="text1"/>
          <w:sz w:val="28"/>
          <w:szCs w:val="28"/>
          <w:shd w:val="clear" w:color="auto" w:fill="FFFFFF"/>
          <w14:textFill>
            <w14:solidFill>
              <w14:schemeClr w14:val="tx1"/>
            </w14:solidFill>
          </w14:textFill>
        </w:rPr>
        <w:t>时间：2020年6月</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2.</w:t>
      </w:r>
      <w:r>
        <w:rPr>
          <w:rFonts w:hint="eastAsia" w:ascii="宋体" w:hAnsi="宋体" w:eastAsia="宋体" w:cs="宋体"/>
          <w:color w:val="000000" w:themeColor="text1"/>
          <w:sz w:val="28"/>
          <w:szCs w:val="28"/>
          <w:shd w:val="clear" w:color="auto" w:fill="FFFFFF"/>
          <w14:textFill>
            <w14:solidFill>
              <w14:schemeClr w14:val="tx1"/>
            </w14:solidFill>
          </w14:textFill>
        </w:rPr>
        <w:t>培养目的：提升学员对经济全球化背景下涉税行业发展趋势的研判能力，增强其所在机构服务中国企业走出去，外国企业走进来，以及参与全球税务治理的业务能力。</w:t>
      </w:r>
    </w:p>
    <w:p>
      <w:pPr>
        <w:ind w:firstLine="600"/>
        <w:rPr>
          <w:rFonts w:ascii="宋体" w:hAnsi="宋体" w:eastAsia="宋体" w:cs="宋体"/>
          <w:color w:val="000000" w:themeColor="text1"/>
          <w:sz w:val="28"/>
          <w:szCs w:val="28"/>
          <w:shd w:val="clear" w:color="auto" w:fill="FFFFFF"/>
          <w14:textFill>
            <w14:solidFill>
              <w14:schemeClr w14:val="tx1"/>
            </w14:solidFill>
          </w14:textFill>
        </w:rPr>
      </w:pPr>
      <w:r>
        <w:rPr>
          <w:rFonts w:hint="default" w:ascii="宋体" w:hAnsi="宋体" w:eastAsia="宋体" w:cs="宋体"/>
          <w:color w:val="000000" w:themeColor="text1"/>
          <w:sz w:val="28"/>
          <w:szCs w:val="28"/>
          <w:shd w:val="clear" w:color="auto" w:fill="FFFFFF"/>
          <w:lang w:val="en-US"/>
          <w14:textFill>
            <w14:solidFill>
              <w14:schemeClr w14:val="tx1"/>
            </w14:solidFill>
          </w14:textFill>
        </w:rPr>
        <w:t>3.</w:t>
      </w:r>
      <w:r>
        <w:rPr>
          <w:rFonts w:hint="eastAsia" w:ascii="宋体" w:hAnsi="宋体" w:eastAsia="宋体" w:cs="宋体"/>
          <w:color w:val="000000" w:themeColor="text1"/>
          <w:sz w:val="28"/>
          <w:szCs w:val="28"/>
          <w:shd w:val="clear" w:color="auto" w:fill="FFFFFF"/>
          <w14:textFill>
            <w14:solidFill>
              <w14:schemeClr w14:val="tx1"/>
            </w14:solidFill>
          </w14:textFill>
        </w:rPr>
        <w:t>课程安排：</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（1）国际政治经济关系、金融格局以及中国企业的国际化经营环境（4学时）。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（2）“一带一路”下企业境外投资税务风险及应对（4学时）。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（3）中国企业国际化过程中面临的主要风险（4学时）。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（4）海外项目投资构架设计、商业模式及供应链安排与税务考量和策划（4学时）。</w:t>
      </w:r>
    </w:p>
    <w:p>
      <w:pPr>
        <w:ind w:firstLine="600"/>
        <w:rPr>
          <w:rFonts w:hint="eastAsia" w:ascii="宋体" w:hAnsi="宋体" w:eastAsia="宋体" w:cs="宋体"/>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14:textFill>
            <w14:solidFill>
              <w14:schemeClr w14:val="tx1"/>
            </w14:solidFill>
          </w14:textFill>
        </w:rPr>
        <w:t>（5）BEPS(CRS)背景下全球税务治理与税务合规管理（8学时）。</w:t>
      </w:r>
    </w:p>
    <w:p>
      <w:pPr>
        <w:pStyle w:val="2"/>
        <w:keepNext w:val="0"/>
        <w:keepLines w:val="0"/>
        <w:widowControl/>
        <w:numPr>
          <w:ilvl w:val="0"/>
          <w:numId w:val="0"/>
        </w:numPr>
        <w:suppressLineNumbers w:val="0"/>
        <w:spacing w:before="0" w:beforeAutospacing="0" w:after="0" w:afterAutospacing="0" w:line="360" w:lineRule="auto"/>
        <w:ind w:right="646" w:rightChars="0"/>
        <w:jc w:val="both"/>
        <w:rPr>
          <w:rFonts w:hint="default" w:ascii="宋体" w:hAnsi="宋体" w:eastAsia="宋体" w:cs="宋体"/>
          <w:color w:val="000000" w:themeColor="text1"/>
          <w:sz w:val="28"/>
          <w:szCs w:val="28"/>
          <w:shd w:val="clear" w:fill="FFFFFF"/>
          <w:lang w:val="en-US" w:eastAsia="zh-CN"/>
          <w14:textFill>
            <w14:solidFill>
              <w14:schemeClr w14:val="tx1"/>
            </w14:solidFill>
          </w14:textFill>
        </w:rPr>
      </w:pPr>
    </w:p>
    <w:p>
      <w:pPr>
        <w:pStyle w:val="2"/>
        <w:keepNext w:val="0"/>
        <w:keepLines w:val="0"/>
        <w:widowControl/>
        <w:numPr>
          <w:ilvl w:val="0"/>
          <w:numId w:val="1"/>
        </w:numPr>
        <w:suppressLineNumbers w:val="0"/>
        <w:spacing w:before="0" w:beforeAutospacing="0" w:after="0" w:afterAutospacing="0" w:line="360" w:lineRule="auto"/>
        <w:ind w:left="720" w:right="646"/>
        <w:jc w:val="both"/>
        <w:rPr>
          <w:rFonts w:hint="default" w:ascii="宋体" w:hAnsi="宋体" w:eastAsia="宋体" w:cs="宋体"/>
          <w:b/>
          <w:bCs/>
          <w:color w:val="000000" w:themeColor="text1"/>
          <w:sz w:val="28"/>
          <w:szCs w:val="28"/>
          <w:shd w:val="clear" w:fill="FFFFFF"/>
          <w:lang w:val="en-US" w:eastAsia="zh-CN"/>
          <w14:textFill>
            <w14:solidFill>
              <w14:schemeClr w14:val="tx1"/>
            </w14:solidFill>
          </w14:textFill>
        </w:rPr>
      </w:pPr>
      <w:r>
        <w:rPr>
          <w:rFonts w:hint="eastAsia" w:ascii="宋体" w:hAnsi="宋体" w:eastAsia="宋体" w:cs="宋体"/>
          <w:b/>
          <w:bCs/>
          <w:color w:val="000000" w:themeColor="text1"/>
          <w:sz w:val="28"/>
          <w:szCs w:val="28"/>
          <w:shd w:val="clear" w:fill="FFFFFF"/>
          <w:lang w:val="en-US" w:eastAsia="zh-CN"/>
          <w14:textFill>
            <w14:solidFill>
              <w14:schemeClr w14:val="tx1"/>
            </w14:solidFill>
          </w14:textFill>
        </w:rPr>
        <w:t>国内考察安排</w:t>
      </w:r>
    </w:p>
    <w:p>
      <w:pPr>
        <w:pStyle w:val="2"/>
        <w:keepNext w:val="0"/>
        <w:keepLines w:val="0"/>
        <w:widowControl/>
        <w:numPr>
          <w:ilvl w:val="0"/>
          <w:numId w:val="0"/>
        </w:numPr>
        <w:suppressLineNumbers w:val="0"/>
        <w:spacing w:before="0" w:beforeAutospacing="0" w:after="0" w:afterAutospacing="0" w:line="360" w:lineRule="auto"/>
        <w:ind w:right="646" w:rightChars="0" w:firstLine="560" w:firstLineChars="200"/>
        <w:jc w:val="both"/>
        <w:rPr>
          <w:rFonts w:hint="eastAsia" w:ascii="宋体" w:hAnsi="宋体" w:eastAsia="宋体" w:cs="宋体"/>
          <w:b/>
          <w:bCs/>
          <w:color w:val="000000" w:themeColor="text1"/>
          <w:sz w:val="28"/>
          <w:szCs w:val="28"/>
          <w:shd w:val="clear" w:color="auto" w:fill="FFFFFF"/>
          <w14:textFill>
            <w14:solidFill>
              <w14:schemeClr w14:val="tx1"/>
            </w14:solidFill>
          </w14:textFill>
        </w:rPr>
      </w:pPr>
      <w:r>
        <w:rPr>
          <w:rFonts w:hint="eastAsia" w:ascii="宋体" w:hAnsi="宋体" w:eastAsia="宋体" w:cs="宋体"/>
          <w:color w:val="000000" w:themeColor="text1"/>
          <w:sz w:val="28"/>
          <w:szCs w:val="28"/>
          <w:shd w:val="clear" w:color="auto" w:fill="FFFFFF"/>
          <w:lang w:val="en-US" w:eastAsia="zh-CN"/>
          <w14:textFill>
            <w14:solidFill>
              <w14:schemeClr w14:val="tx1"/>
            </w14:solidFill>
          </w14:textFill>
        </w:rPr>
        <w:t>培训期间安排2次国内考察。赴四大会计师事务所、国际知名咨询公司、国内知名律师事务所，以及华为、腾讯、中信、中国中车、中国高铁等有代表性的企业集团，与当地财政、税收部门以及企业代表进行座谈。</w:t>
      </w:r>
    </w:p>
    <w:p>
      <w:pPr>
        <w:jc w:val="center"/>
        <w:rPr>
          <w:rFonts w:hint="eastAsia" w:ascii="宋体" w:hAnsi="宋体" w:eastAsia="宋体" w:cs="宋体"/>
          <w:b/>
          <w:bCs/>
          <w:color w:val="000000" w:themeColor="text1"/>
          <w:sz w:val="28"/>
          <w:szCs w:val="28"/>
          <w:shd w:val="clear" w:color="auto" w:fill="FFFFFF"/>
          <w14:textFill>
            <w14:solidFill>
              <w14:schemeClr w14:val="tx1"/>
            </w14:solidFill>
          </w14:textFill>
        </w:rPr>
      </w:pP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59A"/>
    <w:multiLevelType w:val="multilevel"/>
    <w:tmpl w:val="0F79359A"/>
    <w:lvl w:ilvl="0" w:tentative="0">
      <w:start w:val="1"/>
      <w:numFmt w:val="japaneseCounting"/>
      <w:lvlText w:val="（%1）"/>
      <w:lvlJc w:val="left"/>
      <w:pPr>
        <w:ind w:left="1440" w:hanging="84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1">
    <w:nsid w:val="68F65716"/>
    <w:multiLevelType w:val="singleLevel"/>
    <w:tmpl w:val="68F6571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606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gyj</dc:creator>
  <cp:lastModifiedBy>关迎军</cp:lastModifiedBy>
  <dcterms:modified xsi:type="dcterms:W3CDTF">2019-06-21T07:35:34Z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